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54" w:rsidRPr="002E642D" w:rsidRDefault="002E642D" w:rsidP="00224761">
      <w:pPr>
        <w:jc w:val="center"/>
        <w:rPr>
          <w:rFonts w:cstheme="minorHAnsi"/>
          <w:b/>
          <w:u w:val="single"/>
        </w:rPr>
      </w:pPr>
      <w:r w:rsidRPr="002E642D">
        <w:rPr>
          <w:rFonts w:cstheme="minorHAnsi"/>
          <w:b/>
          <w:u w:val="single"/>
        </w:rPr>
        <w:t xml:space="preserve">ESTRATEGIA DE </w:t>
      </w:r>
      <w:r w:rsidR="005D5A54" w:rsidRPr="002E642D">
        <w:rPr>
          <w:rFonts w:cstheme="minorHAnsi"/>
          <w:b/>
          <w:u w:val="single"/>
        </w:rPr>
        <w:t xml:space="preserve">DESARROLLO URBANO SOSTENIBLE </w:t>
      </w:r>
      <w:r w:rsidRPr="002E642D">
        <w:rPr>
          <w:rFonts w:cstheme="minorHAnsi"/>
          <w:b/>
          <w:u w:val="single"/>
        </w:rPr>
        <w:t xml:space="preserve">E </w:t>
      </w:r>
      <w:r w:rsidR="005D5A54" w:rsidRPr="002E642D">
        <w:rPr>
          <w:rFonts w:cstheme="minorHAnsi"/>
          <w:b/>
          <w:u w:val="single"/>
        </w:rPr>
        <w:t>INTEGRADO CÁDIZ 2020</w:t>
      </w:r>
    </w:p>
    <w:p w:rsidR="00A41725" w:rsidRPr="00A41725" w:rsidRDefault="00A41725" w:rsidP="002E015A">
      <w:pPr>
        <w:jc w:val="center"/>
        <w:rPr>
          <w:rFonts w:cstheme="minorHAnsi"/>
          <w:b/>
        </w:rPr>
      </w:pPr>
      <w:r w:rsidRPr="00A41725">
        <w:rPr>
          <w:rFonts w:cstheme="minorHAnsi"/>
          <w:b/>
        </w:rPr>
        <w:t>ACTA DE MESA DE TRABAJO TRANSVERSAL RETO DEMOGRÁFICO: MAYORES</w:t>
      </w:r>
    </w:p>
    <w:p w:rsidR="00A41725" w:rsidRDefault="00A41725" w:rsidP="002E015A">
      <w:pPr>
        <w:jc w:val="center"/>
        <w:rPr>
          <w:rFonts w:cstheme="minorHAnsi"/>
          <w:b/>
        </w:rPr>
      </w:pPr>
      <w:r w:rsidRPr="00A41725">
        <w:rPr>
          <w:rFonts w:cstheme="minorHAnsi"/>
          <w:b/>
        </w:rPr>
        <w:t xml:space="preserve">Jueves, 17 de </w:t>
      </w:r>
      <w:r>
        <w:rPr>
          <w:rFonts w:cstheme="minorHAnsi"/>
          <w:b/>
        </w:rPr>
        <w:t>noviembre de 2016</w:t>
      </w:r>
    </w:p>
    <w:p w:rsidR="00A41725" w:rsidRDefault="00A41725" w:rsidP="00A41725">
      <w:pPr>
        <w:rPr>
          <w:rFonts w:cstheme="minorHAnsi"/>
          <w:b/>
        </w:rPr>
      </w:pPr>
    </w:p>
    <w:p w:rsidR="00A41725" w:rsidRDefault="00A41725" w:rsidP="002D0A54">
      <w:pPr>
        <w:rPr>
          <w:rFonts w:cstheme="minorHAnsi"/>
        </w:rPr>
      </w:pPr>
      <w:r>
        <w:rPr>
          <w:rFonts w:cstheme="minorHAnsi"/>
        </w:rPr>
        <w:t xml:space="preserve">Lugar: </w:t>
      </w:r>
      <w:r w:rsidR="002F1497">
        <w:rPr>
          <w:rFonts w:cstheme="minorHAnsi"/>
        </w:rPr>
        <w:t>A.V. Claridad del Cerro del Moro</w:t>
      </w:r>
    </w:p>
    <w:p w:rsidR="002F1497" w:rsidRDefault="002F1497" w:rsidP="002D0A54">
      <w:pPr>
        <w:rPr>
          <w:rFonts w:cstheme="minorHAnsi"/>
        </w:rPr>
      </w:pPr>
      <w:r>
        <w:rPr>
          <w:rFonts w:cstheme="minorHAnsi"/>
        </w:rPr>
        <w:t>Horario: 17:30 – 20:00 horas.</w:t>
      </w:r>
    </w:p>
    <w:p w:rsidR="002F1497" w:rsidRPr="00A41725" w:rsidRDefault="002F1497" w:rsidP="002D0A54">
      <w:pPr>
        <w:rPr>
          <w:rFonts w:cstheme="minorHAnsi"/>
        </w:rPr>
      </w:pPr>
      <w:r w:rsidRPr="00AD70D0">
        <w:rPr>
          <w:rFonts w:cstheme="minorHAnsi"/>
        </w:rPr>
        <w:t>Asistentes:</w:t>
      </w:r>
    </w:p>
    <w:p w:rsidR="00705BAB" w:rsidRPr="001653B2" w:rsidRDefault="00156509" w:rsidP="002D0A54">
      <w:pPr>
        <w:pStyle w:val="Prrafodelista"/>
        <w:numPr>
          <w:ilvl w:val="0"/>
          <w:numId w:val="24"/>
        </w:numPr>
        <w:rPr>
          <w:lang w:val="pt-PT"/>
        </w:rPr>
      </w:pPr>
      <w:r>
        <w:rPr>
          <w:lang w:val="pt-PT"/>
        </w:rPr>
        <w:t>Plan</w:t>
      </w:r>
      <w:r w:rsidR="00AD70D0" w:rsidRPr="001653B2">
        <w:rPr>
          <w:lang w:val="pt-PT"/>
        </w:rPr>
        <w:t xml:space="preserve"> C</w:t>
      </w:r>
    </w:p>
    <w:p w:rsidR="00AD70D0" w:rsidRPr="00DE27C7" w:rsidRDefault="00AD70D0" w:rsidP="002D0A54">
      <w:pPr>
        <w:pStyle w:val="Prrafodelista"/>
        <w:numPr>
          <w:ilvl w:val="0"/>
          <w:numId w:val="24"/>
        </w:numPr>
      </w:pPr>
      <w:r w:rsidRPr="00DE27C7">
        <w:t>Fundación de la Mujer</w:t>
      </w:r>
    </w:p>
    <w:p w:rsidR="00AD70D0" w:rsidRPr="00DE27C7" w:rsidRDefault="00AD70D0" w:rsidP="002D0A54">
      <w:pPr>
        <w:pStyle w:val="Prrafodelista"/>
        <w:numPr>
          <w:ilvl w:val="0"/>
          <w:numId w:val="24"/>
        </w:numPr>
      </w:pPr>
      <w:r w:rsidRPr="00DE27C7">
        <w:t>Colegio Profesional de Trabajo Social de Cádiz</w:t>
      </w:r>
    </w:p>
    <w:p w:rsidR="00AD70D0" w:rsidRPr="002201DC" w:rsidRDefault="00AD70D0" w:rsidP="002D0A54">
      <w:pPr>
        <w:pStyle w:val="Prrafodelista"/>
        <w:numPr>
          <w:ilvl w:val="0"/>
          <w:numId w:val="24"/>
        </w:numPr>
        <w:rPr>
          <w:lang w:val="pt-PT"/>
        </w:rPr>
      </w:pPr>
      <w:r w:rsidRPr="002201DC">
        <w:rPr>
          <w:lang w:val="pt-PT"/>
        </w:rPr>
        <w:t>Podemos Cádiz</w:t>
      </w:r>
    </w:p>
    <w:p w:rsidR="000A221F" w:rsidRPr="00F8363A" w:rsidRDefault="002201DC" w:rsidP="002D0A54">
      <w:pPr>
        <w:pStyle w:val="Prrafodelista"/>
        <w:numPr>
          <w:ilvl w:val="0"/>
          <w:numId w:val="24"/>
        </w:numPr>
        <w:rPr>
          <w:rFonts w:cstheme="minorHAnsi"/>
        </w:rPr>
      </w:pPr>
      <w:r>
        <w:t>Del</w:t>
      </w:r>
      <w:r w:rsidR="00A92938" w:rsidRPr="00DE27C7">
        <w:t xml:space="preserve">egación de Mayores </w:t>
      </w:r>
      <w:r>
        <w:t>del Ayuntamiento de Cádiz</w:t>
      </w:r>
    </w:p>
    <w:p w:rsidR="00F8363A" w:rsidRDefault="00F8363A" w:rsidP="002D0A54">
      <w:pPr>
        <w:pStyle w:val="Prrafodelista"/>
        <w:numPr>
          <w:ilvl w:val="0"/>
          <w:numId w:val="24"/>
        </w:numPr>
      </w:pPr>
      <w:r>
        <w:t>A</w:t>
      </w:r>
      <w:r w:rsidR="002201DC">
        <w:t>.</w:t>
      </w:r>
      <w:r>
        <w:t>V</w:t>
      </w:r>
      <w:r w:rsidR="002201DC">
        <w:t>.</w:t>
      </w:r>
      <w:r>
        <w:t xml:space="preserve"> Bahía Gaditana</w:t>
      </w:r>
    </w:p>
    <w:p w:rsidR="001653B2" w:rsidRPr="00D5664A" w:rsidRDefault="001653B2" w:rsidP="002D0A54">
      <w:pPr>
        <w:pStyle w:val="Prrafodelista"/>
        <w:numPr>
          <w:ilvl w:val="0"/>
          <w:numId w:val="24"/>
        </w:numPr>
        <w:spacing w:after="0"/>
        <w:jc w:val="both"/>
      </w:pPr>
      <w:r>
        <w:t>Instituto de Fomento, Empleo y Formación (IFEF). Ayuntamiento de Cádiz</w:t>
      </w:r>
    </w:p>
    <w:p w:rsidR="002201DC" w:rsidRDefault="002201DC" w:rsidP="002D0A54">
      <w:pPr>
        <w:ind w:left="360"/>
        <w:jc w:val="right"/>
        <w:rPr>
          <w:b/>
        </w:rPr>
      </w:pPr>
    </w:p>
    <w:p w:rsidR="00B95101" w:rsidRPr="00F8363A" w:rsidRDefault="00AD70D0" w:rsidP="002D0A54">
      <w:pPr>
        <w:ind w:left="360"/>
        <w:jc w:val="right"/>
        <w:rPr>
          <w:b/>
        </w:rPr>
      </w:pPr>
      <w:r w:rsidRPr="00F8363A">
        <w:rPr>
          <w:b/>
        </w:rPr>
        <w:t xml:space="preserve">NÚMERO TOTAL DE ASISTENTES: </w:t>
      </w:r>
      <w:r w:rsidR="001653B2">
        <w:rPr>
          <w:b/>
        </w:rPr>
        <w:t>12</w:t>
      </w:r>
    </w:p>
    <w:p w:rsidR="00D647E3" w:rsidRDefault="001653B2" w:rsidP="00D647E3">
      <w:pPr>
        <w:ind w:firstLine="708"/>
        <w:jc w:val="both"/>
      </w:pPr>
      <w:r>
        <w:t>Apertura de la sesión de trabajo con la presentación de la Estrategia EDUSI “Cádiz 2020”, y las conclusiones de las Mesas de la semana anterior, donde se trabajaron los Objetivos Temáticos 2, 4, 6, 8 y 9 indicando la finalidad de esta sesión como un repaso transversal de las conclusiones</w:t>
      </w:r>
      <w:r w:rsidR="002D0A54">
        <w:t xml:space="preserve"> desde el punto de vista de l</w:t>
      </w:r>
      <w:r>
        <w:t xml:space="preserve">as </w:t>
      </w:r>
      <w:r w:rsidR="002D0A54">
        <w:t xml:space="preserve">personas </w:t>
      </w:r>
      <w:r>
        <w:t xml:space="preserve">mayores. </w:t>
      </w:r>
      <w:r w:rsidR="00D647E3">
        <w:rPr>
          <w:rFonts w:ascii="Calibri" w:eastAsia="Calibri" w:hAnsi="Calibri" w:cs="Times New Roman"/>
        </w:rPr>
        <w:t xml:space="preserve">Distribución de los/as asistentes en </w:t>
      </w:r>
      <w:r w:rsidR="00D647E3">
        <w:t>dos grupos</w:t>
      </w:r>
      <w:r w:rsidR="00A347A9">
        <w:rPr>
          <w:rFonts w:ascii="Calibri" w:eastAsia="Calibri" w:hAnsi="Calibri" w:cs="Times New Roman"/>
        </w:rPr>
        <w:t>, selección de cinco propuestas y</w:t>
      </w:r>
      <w:r w:rsidR="00D647E3">
        <w:rPr>
          <w:rFonts w:ascii="Calibri" w:eastAsia="Calibri" w:hAnsi="Calibri" w:cs="Times New Roman"/>
        </w:rPr>
        <w:t xml:space="preserve"> puesta en común</w:t>
      </w:r>
      <w:r w:rsidR="00A347A9">
        <w:rPr>
          <w:rFonts w:ascii="Calibri" w:eastAsia="Calibri" w:hAnsi="Calibri" w:cs="Times New Roman"/>
        </w:rPr>
        <w:t xml:space="preserve">. En esta mesa lo/as participantes deciden no priorizar por considerar que </w:t>
      </w:r>
      <w:r w:rsidR="00D647E3">
        <w:rPr>
          <w:rFonts w:ascii="Calibri" w:eastAsia="Calibri" w:hAnsi="Calibri" w:cs="Times New Roman"/>
        </w:rPr>
        <w:t xml:space="preserve"> </w:t>
      </w:r>
      <w:r w:rsidR="00A347A9">
        <w:rPr>
          <w:rFonts w:ascii="Calibri" w:eastAsia="Calibri" w:hAnsi="Calibri" w:cs="Times New Roman"/>
        </w:rPr>
        <w:t>todas las propuestas son importantes</w:t>
      </w:r>
    </w:p>
    <w:p w:rsidR="001653B2" w:rsidRPr="00A347A9" w:rsidRDefault="00A347A9" w:rsidP="00A347A9">
      <w:pPr>
        <w:ind w:firstLine="708"/>
        <w:jc w:val="center"/>
        <w:rPr>
          <w:b/>
        </w:rPr>
      </w:pPr>
      <w:r w:rsidRPr="00A347A9">
        <w:rPr>
          <w:b/>
        </w:rPr>
        <w:t>RESUMEN DE LAS PROPUESTAS</w:t>
      </w:r>
    </w:p>
    <w:p w:rsidR="00B934C4" w:rsidRPr="00B934C4" w:rsidRDefault="00ED6452" w:rsidP="00B934C4">
      <w:pPr>
        <w:jc w:val="both"/>
        <w:rPr>
          <w:rFonts w:cstheme="minorHAnsi"/>
        </w:rPr>
      </w:pPr>
      <w:r w:rsidRPr="00B934C4">
        <w:rPr>
          <w:rFonts w:cstheme="minorHAnsi"/>
          <w:b/>
        </w:rPr>
        <w:t xml:space="preserve">OT2 Mejorara el uso de calidad de las TICS  y el acceso a las mismas: </w:t>
      </w:r>
      <w:r w:rsidRPr="00B934C4">
        <w:rPr>
          <w:rFonts w:cstheme="minorHAnsi"/>
        </w:rPr>
        <w:t xml:space="preserve">Alfabetización digital priorizando formación en nuevas tecnologías dirigidas a personas mayores, </w:t>
      </w:r>
      <w:r w:rsidR="00B934C4">
        <w:rPr>
          <w:rFonts w:cstheme="minorHAnsi"/>
        </w:rPr>
        <w:t>utilizando espacios públicos con</w:t>
      </w:r>
      <w:r w:rsidRPr="00B934C4">
        <w:rPr>
          <w:rFonts w:cstheme="minorHAnsi"/>
        </w:rPr>
        <w:t xml:space="preserve"> equipamientos</w:t>
      </w:r>
      <w:r w:rsidR="00B934C4">
        <w:rPr>
          <w:rFonts w:cstheme="minorHAnsi"/>
        </w:rPr>
        <w:t xml:space="preserve"> informáticos y recursos humanos</w:t>
      </w:r>
      <w:r w:rsidRPr="00B934C4">
        <w:rPr>
          <w:rFonts w:cstheme="minorHAnsi"/>
        </w:rPr>
        <w:t>.</w:t>
      </w:r>
      <w:r w:rsidR="00B934C4" w:rsidRPr="00B934C4">
        <w:rPr>
          <w:rFonts w:cstheme="minorHAnsi"/>
          <w:b/>
        </w:rPr>
        <w:t xml:space="preserve"> Desarrollo de herramientas TIC</w:t>
      </w:r>
      <w:r w:rsidR="00B934C4" w:rsidRPr="00B934C4">
        <w:rPr>
          <w:rFonts w:cstheme="minorHAnsi"/>
        </w:rPr>
        <w:t xml:space="preserve"> que ayuden a las personas mayores en salud, comunicación con familiares</w:t>
      </w:r>
      <w:r w:rsidR="00B934C4">
        <w:rPr>
          <w:rFonts w:cstheme="minorHAnsi"/>
        </w:rPr>
        <w:t>, uso telemático de la administración.</w:t>
      </w:r>
      <w:r w:rsidR="00B934C4" w:rsidRPr="00B934C4">
        <w:rPr>
          <w:rFonts w:cstheme="minorHAnsi"/>
        </w:rPr>
        <w:t xml:space="preserve"> </w:t>
      </w:r>
    </w:p>
    <w:p w:rsidR="00ED6452" w:rsidRPr="002D0A54" w:rsidRDefault="006752ED" w:rsidP="002D0A54">
      <w:pPr>
        <w:jc w:val="both"/>
        <w:rPr>
          <w:rFonts w:cstheme="minorHAnsi"/>
          <w:b/>
        </w:rPr>
      </w:pPr>
      <w:r w:rsidRPr="002D0A54">
        <w:rPr>
          <w:rFonts w:cstheme="minorHAnsi"/>
          <w:b/>
        </w:rPr>
        <w:t xml:space="preserve">OT4 Favorecer </w:t>
      </w:r>
      <w:r w:rsidR="00ED6452" w:rsidRPr="002D0A54">
        <w:rPr>
          <w:rFonts w:cstheme="minorHAnsi"/>
        </w:rPr>
        <w:t xml:space="preserve"> </w:t>
      </w:r>
      <w:r w:rsidR="003B6DB4" w:rsidRPr="002D0A54">
        <w:rPr>
          <w:rFonts w:cstheme="minorHAnsi"/>
          <w:b/>
        </w:rPr>
        <w:t xml:space="preserve">el paso a una economía de bajo nivel de emisión de carbono en todos los sectores: </w:t>
      </w:r>
      <w:r w:rsidR="00B934C4">
        <w:rPr>
          <w:rFonts w:cstheme="minorHAnsi"/>
        </w:rPr>
        <w:t>C</w:t>
      </w:r>
      <w:r w:rsidR="00B934C4" w:rsidRPr="007760A2">
        <w:rPr>
          <w:rFonts w:cstheme="minorHAnsi"/>
        </w:rPr>
        <w:t>reación de caminos seguros evitando las barreras arquitectónicas y con fác</w:t>
      </w:r>
      <w:r w:rsidR="00B934C4">
        <w:rPr>
          <w:rFonts w:cstheme="minorHAnsi"/>
        </w:rPr>
        <w:t xml:space="preserve">iles accesos y habilitación de </w:t>
      </w:r>
      <w:r w:rsidR="00B934C4" w:rsidRPr="007760A2">
        <w:rPr>
          <w:rFonts w:cstheme="minorHAnsi"/>
        </w:rPr>
        <w:t>espacios verdes y azules tranquilos</w:t>
      </w:r>
      <w:r w:rsidR="00300713" w:rsidRPr="002D0A54">
        <w:rPr>
          <w:rFonts w:cstheme="minorHAnsi"/>
        </w:rPr>
        <w:t>.</w:t>
      </w:r>
      <w:r w:rsidR="00FF470F" w:rsidRPr="002D0A54">
        <w:rPr>
          <w:rFonts w:cstheme="minorHAnsi"/>
        </w:rPr>
        <w:t xml:space="preserve"> </w:t>
      </w:r>
      <w:r w:rsidR="00B934C4">
        <w:rPr>
          <w:rFonts w:cstheme="minorHAnsi"/>
        </w:rPr>
        <w:t>R</w:t>
      </w:r>
      <w:r w:rsidR="00FF470F" w:rsidRPr="002D0A54">
        <w:rPr>
          <w:rFonts w:cstheme="minorHAnsi"/>
        </w:rPr>
        <w:t xml:space="preserve">ecorrido </w:t>
      </w:r>
      <w:r w:rsidR="00B934C4">
        <w:rPr>
          <w:rFonts w:cstheme="minorHAnsi"/>
        </w:rPr>
        <w:t xml:space="preserve">integrador </w:t>
      </w:r>
      <w:r w:rsidR="00FF470F" w:rsidRPr="002D0A54">
        <w:rPr>
          <w:rFonts w:cstheme="minorHAnsi"/>
        </w:rPr>
        <w:t xml:space="preserve">del  transporte urbano para evitar que ciertas zonas de la ciudad no dispongan de un </w:t>
      </w:r>
      <w:r w:rsidR="00B934C4">
        <w:rPr>
          <w:rFonts w:cstheme="minorHAnsi"/>
        </w:rPr>
        <w:t xml:space="preserve">acceso </w:t>
      </w:r>
      <w:r w:rsidR="00B934C4">
        <w:rPr>
          <w:rFonts w:cstheme="minorHAnsi"/>
        </w:rPr>
        <w:lastRenderedPageBreak/>
        <w:t>adecuado;</w:t>
      </w:r>
      <w:r w:rsidR="00FF470F" w:rsidRPr="002D0A54">
        <w:rPr>
          <w:rFonts w:cstheme="minorHAnsi"/>
        </w:rPr>
        <w:t xml:space="preserve"> paradas de autobuses con una mejor infraestructura, como más </w:t>
      </w:r>
      <w:r w:rsidR="00787973" w:rsidRPr="002D0A54">
        <w:rPr>
          <w:rFonts w:cstheme="minorHAnsi"/>
        </w:rPr>
        <w:t>asientos</w:t>
      </w:r>
      <w:r w:rsidR="00FF470F" w:rsidRPr="002D0A54">
        <w:rPr>
          <w:rFonts w:cstheme="minorHAnsi"/>
        </w:rPr>
        <w:t>, más cubiertas para poder resguardarse de la lluvia, etc.</w:t>
      </w:r>
    </w:p>
    <w:p w:rsidR="00330A03" w:rsidRDefault="00EA1548" w:rsidP="002D0A54">
      <w:pPr>
        <w:jc w:val="both"/>
        <w:rPr>
          <w:rFonts w:cstheme="minorHAnsi"/>
        </w:rPr>
      </w:pPr>
      <w:r w:rsidRPr="002D0A54">
        <w:rPr>
          <w:rFonts w:cstheme="minorHAnsi"/>
          <w:b/>
        </w:rPr>
        <w:t>OT 6 Conservar y  proteger el medio el medio ambiente y promover la eficacia de los recursos</w:t>
      </w:r>
      <w:r w:rsidRPr="002D0A54">
        <w:rPr>
          <w:rFonts w:cstheme="minorHAnsi"/>
        </w:rPr>
        <w:t>: Repensar la situación de las plazas, cuando las infraestructuras lo permiten, construir aparcamientos debajo de ellas para poder sustituir estos por más zona</w:t>
      </w:r>
      <w:r w:rsidR="00420230" w:rsidRPr="002D0A54">
        <w:rPr>
          <w:rFonts w:cstheme="minorHAnsi"/>
        </w:rPr>
        <w:t>s</w:t>
      </w:r>
      <w:r w:rsidRPr="002D0A54">
        <w:rPr>
          <w:rFonts w:cstheme="minorHAnsi"/>
        </w:rPr>
        <w:t xml:space="preserve"> verde</w:t>
      </w:r>
      <w:r w:rsidR="00420230" w:rsidRPr="002D0A54">
        <w:rPr>
          <w:rFonts w:cstheme="minorHAnsi"/>
        </w:rPr>
        <w:t>s, f</w:t>
      </w:r>
      <w:r w:rsidR="00C25DA7" w:rsidRPr="002D0A54">
        <w:rPr>
          <w:rFonts w:cstheme="minorHAnsi"/>
        </w:rPr>
        <w:t>omentar actividades n</w:t>
      </w:r>
      <w:r w:rsidR="00420230" w:rsidRPr="002D0A54">
        <w:rPr>
          <w:rFonts w:cstheme="minorHAnsi"/>
        </w:rPr>
        <w:t xml:space="preserve">áuticas de manera </w:t>
      </w:r>
      <w:proofErr w:type="spellStart"/>
      <w:r w:rsidR="00420230" w:rsidRPr="002D0A54">
        <w:rPr>
          <w:rFonts w:cstheme="minorHAnsi"/>
        </w:rPr>
        <w:t>intergeneracional</w:t>
      </w:r>
      <w:proofErr w:type="spellEnd"/>
      <w:r w:rsidR="00420230" w:rsidRPr="002D0A54">
        <w:rPr>
          <w:rFonts w:cstheme="minorHAnsi"/>
        </w:rPr>
        <w:t xml:space="preserve"> (pesca, deportes náuticos…). Creación de huertos urbanos en zonas libres. </w:t>
      </w:r>
    </w:p>
    <w:p w:rsidR="00330A03" w:rsidRDefault="008F0884" w:rsidP="00330A03">
      <w:pPr>
        <w:jc w:val="both"/>
        <w:rPr>
          <w:rFonts w:cstheme="minorHAnsi"/>
        </w:rPr>
      </w:pPr>
      <w:r w:rsidRPr="002D0A54">
        <w:rPr>
          <w:rFonts w:cstheme="minorHAnsi"/>
          <w:b/>
        </w:rPr>
        <w:t>OT 8</w:t>
      </w:r>
      <w:r w:rsidR="004E4AD2" w:rsidRPr="002D0A54">
        <w:rPr>
          <w:rFonts w:cstheme="minorHAnsi"/>
          <w:b/>
        </w:rPr>
        <w:t xml:space="preserve"> y 9 Promover la sostenibilidad y calidad en el empleo y favorecer la movilidad laboral; promover la inclusión social y luchar contra la pobreza y cualquier forma de discriminación:</w:t>
      </w:r>
      <w:r w:rsidR="00666053" w:rsidRPr="002D0A54">
        <w:rPr>
          <w:rFonts w:cstheme="minorHAnsi"/>
        </w:rPr>
        <w:t xml:space="preserve"> </w:t>
      </w:r>
    </w:p>
    <w:p w:rsidR="00330A03" w:rsidRDefault="00666053" w:rsidP="00330A03">
      <w:pPr>
        <w:jc w:val="both"/>
        <w:rPr>
          <w:rFonts w:cstheme="minorHAnsi"/>
        </w:rPr>
      </w:pPr>
      <w:r w:rsidRPr="002D0A54">
        <w:rPr>
          <w:rFonts w:cstheme="minorHAnsi"/>
        </w:rPr>
        <w:t xml:space="preserve">Dotación de recursos (espacios, mobiliario…) plazas y centros para juegos. </w:t>
      </w:r>
      <w:r w:rsidR="00330A03" w:rsidRPr="00330A03">
        <w:rPr>
          <w:rFonts w:cstheme="minorHAnsi"/>
          <w:b/>
        </w:rPr>
        <w:t>P</w:t>
      </w:r>
      <w:r w:rsidRPr="00330A03">
        <w:rPr>
          <w:rFonts w:cstheme="minorHAnsi"/>
          <w:b/>
        </w:rPr>
        <w:t>oner en valor la experiencia de las personas mayores,</w:t>
      </w:r>
      <w:r w:rsidRPr="002D0A54">
        <w:rPr>
          <w:rFonts w:cstheme="minorHAnsi"/>
        </w:rPr>
        <w:t xml:space="preserve"> realizando actividades </w:t>
      </w:r>
      <w:proofErr w:type="spellStart"/>
      <w:r w:rsidRPr="002D0A54">
        <w:rPr>
          <w:rFonts w:cstheme="minorHAnsi"/>
        </w:rPr>
        <w:t>intergeneracionales</w:t>
      </w:r>
      <w:proofErr w:type="spellEnd"/>
      <w:r w:rsidR="00BF28A0" w:rsidRPr="002D0A54">
        <w:rPr>
          <w:rFonts w:cstheme="minorHAnsi"/>
        </w:rPr>
        <w:t>.</w:t>
      </w:r>
      <w:r w:rsidR="00330A03" w:rsidRPr="00330A03">
        <w:rPr>
          <w:rFonts w:cstheme="minorHAnsi"/>
        </w:rPr>
        <w:t xml:space="preserve"> </w:t>
      </w:r>
    </w:p>
    <w:p w:rsidR="00330A03" w:rsidRPr="00330A03" w:rsidRDefault="00330A03" w:rsidP="00330A03">
      <w:pPr>
        <w:jc w:val="both"/>
        <w:rPr>
          <w:rFonts w:cstheme="minorHAnsi"/>
          <w:u w:val="single"/>
        </w:rPr>
      </w:pPr>
      <w:r w:rsidRPr="00330A03">
        <w:rPr>
          <w:rFonts w:cstheme="minorHAnsi"/>
          <w:b/>
        </w:rPr>
        <w:t>Accesibilidad en viviendas:</w:t>
      </w:r>
      <w:r w:rsidRPr="00330A03">
        <w:rPr>
          <w:rFonts w:cstheme="minorHAnsi"/>
        </w:rPr>
        <w:t xml:space="preserve"> viviendas sociales para personas que estén aisladas y que sufren soledad. Realización de programas de acompañamiento, cooperativas de </w:t>
      </w:r>
      <w:r w:rsidRPr="00120F18">
        <w:rPr>
          <w:rFonts w:cstheme="minorHAnsi"/>
          <w:b/>
        </w:rPr>
        <w:t>ayuda mutua</w:t>
      </w:r>
      <w:r w:rsidRPr="00330A03">
        <w:rPr>
          <w:rFonts w:cstheme="minorHAnsi"/>
        </w:rPr>
        <w:t>, actividades domésticas conjuntas para que recuperen la vida social de manera activa y participativa.</w:t>
      </w:r>
    </w:p>
    <w:p w:rsidR="00330A03" w:rsidRPr="002D0A54" w:rsidRDefault="00330A03" w:rsidP="002D0A54">
      <w:pPr>
        <w:jc w:val="both"/>
        <w:rPr>
          <w:rFonts w:cstheme="minorHAnsi"/>
          <w:b/>
        </w:rPr>
      </w:pPr>
      <w:r w:rsidRPr="00346A82">
        <w:rPr>
          <w:rFonts w:cstheme="minorHAnsi"/>
          <w:b/>
        </w:rPr>
        <w:t>Generación de espacios</w:t>
      </w:r>
      <w:r>
        <w:rPr>
          <w:rFonts w:cstheme="minorHAnsi"/>
        </w:rPr>
        <w:t xml:space="preserve"> para personas mayores regenerando la integración y </w:t>
      </w:r>
      <w:r w:rsidRPr="006E07DE">
        <w:rPr>
          <w:rFonts w:cstheme="minorHAnsi"/>
          <w:b/>
        </w:rPr>
        <w:t>gestionados por ellos mismo</w:t>
      </w:r>
      <w:r>
        <w:rPr>
          <w:rFonts w:cstheme="minorHAnsi"/>
        </w:rPr>
        <w:t xml:space="preserve">, no sólo rentabilizando los espacios municipales existentes, sino resocializando los centros cívicos, asociaciones de vecinos, con recursos coordinados. </w:t>
      </w:r>
    </w:p>
    <w:p w:rsidR="00330A03" w:rsidRPr="00330A03" w:rsidRDefault="00330A03" w:rsidP="00330A03">
      <w:pPr>
        <w:jc w:val="both"/>
        <w:rPr>
          <w:rFonts w:cstheme="minorHAnsi"/>
        </w:rPr>
      </w:pPr>
      <w:r w:rsidRPr="00330A03">
        <w:rPr>
          <w:rFonts w:cstheme="minorHAnsi"/>
          <w:b/>
        </w:rPr>
        <w:t>Formación:</w:t>
      </w:r>
      <w:r w:rsidRPr="00330A03">
        <w:rPr>
          <w:rFonts w:cstheme="minorHAnsi"/>
        </w:rPr>
        <w:t xml:space="preserve"> Talleres dedicados al fortalecimiento de las personas mayores, evitando  así que se conviertan en meros consumidores y tratando de evitar actividades anestésica. Fomentar la organización de talleres dedicados a la salud física y emocional, como dan</w:t>
      </w:r>
      <w:r>
        <w:rPr>
          <w:rFonts w:cstheme="minorHAnsi"/>
        </w:rPr>
        <w:t>za, deportes náuticos (pesca) o NNTT</w:t>
      </w:r>
      <w:r w:rsidR="00120F18" w:rsidRPr="00120F18">
        <w:rPr>
          <w:rFonts w:cstheme="minorHAnsi"/>
        </w:rPr>
        <w:t xml:space="preserve"> </w:t>
      </w:r>
      <w:r w:rsidR="00120F18">
        <w:rPr>
          <w:rFonts w:cstheme="minorHAnsi"/>
        </w:rPr>
        <w:t>que permitan acercar a los mayores a las nuevas generaciones</w:t>
      </w:r>
      <w:proofErr w:type="gramStart"/>
      <w:r w:rsidR="00120F18">
        <w:rPr>
          <w:rFonts w:cstheme="minorHAnsi"/>
        </w:rPr>
        <w:t>.</w:t>
      </w:r>
      <w:r>
        <w:rPr>
          <w:rFonts w:cstheme="minorHAnsi"/>
        </w:rPr>
        <w:t>.</w:t>
      </w:r>
      <w:proofErr w:type="gramEnd"/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0A1A1B" w:rsidRPr="00A41725" w:rsidRDefault="000A1A1B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p w:rsidR="00A414D8" w:rsidRPr="00A41725" w:rsidRDefault="00A414D8" w:rsidP="00A414D8">
      <w:pPr>
        <w:spacing w:line="240" w:lineRule="auto"/>
        <w:contextualSpacing/>
        <w:jc w:val="both"/>
        <w:rPr>
          <w:rFonts w:cs="Calibri"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0"/>
        <w:gridCol w:w="4350"/>
      </w:tblGrid>
      <w:tr w:rsidR="00A414D8" w:rsidRPr="003A1E52" w:rsidTr="008529E7">
        <w:trPr>
          <w:trHeight w:val="552"/>
        </w:trPr>
        <w:tc>
          <w:tcPr>
            <w:tcW w:w="8720" w:type="dxa"/>
            <w:gridSpan w:val="2"/>
            <w:vAlign w:val="center"/>
          </w:tcPr>
          <w:p w:rsidR="00A414D8" w:rsidRPr="003A1E52" w:rsidRDefault="00A414D8" w:rsidP="003A1E52">
            <w:pPr>
              <w:jc w:val="center"/>
              <w:rPr>
                <w:b/>
              </w:rPr>
            </w:pPr>
            <w:r w:rsidRPr="003A1E52">
              <w:rPr>
                <w:b/>
              </w:rPr>
              <w:t xml:space="preserve">MESA </w:t>
            </w:r>
            <w:r w:rsidR="003A1E52">
              <w:rPr>
                <w:b/>
              </w:rPr>
              <w:t>DE TRABAJO TRANSVERSAL RETO DEMOGRÁFICO: MAYORES</w:t>
            </w:r>
          </w:p>
        </w:tc>
      </w:tr>
      <w:tr w:rsidR="00A414D8" w:rsidRPr="003A1E52" w:rsidTr="008529E7">
        <w:tc>
          <w:tcPr>
            <w:tcW w:w="4370" w:type="dxa"/>
          </w:tcPr>
          <w:p w:rsidR="00A414D8" w:rsidRPr="003A1E52" w:rsidRDefault="002D0A54" w:rsidP="008529E7">
            <w:pPr>
              <w:jc w:val="both"/>
            </w:pPr>
            <w:r w:rsidRPr="002D0A54">
              <w:rPr>
                <w:noProof/>
                <w:lang w:eastAsia="es-ES"/>
              </w:rPr>
              <w:drawing>
                <wp:inline distT="0" distB="0" distL="0" distR="0">
                  <wp:extent cx="2071020" cy="1552575"/>
                  <wp:effectExtent l="19050" t="0" r="5430" b="0"/>
                  <wp:docPr id="2" name="Imagen 1" descr="C:\Users\sara grimaldi\Desktop\EDUSI OBJ TRANSVERSA MAYOR\IMG_5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 grimaldi\Desktop\EDUSI OBJ TRANSVERSA MAYOR\IMG_5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318" cy="1558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</w:tcPr>
          <w:p w:rsidR="00A414D8" w:rsidRPr="003A1E52" w:rsidRDefault="002D0A54" w:rsidP="008529E7">
            <w:pPr>
              <w:jc w:val="both"/>
            </w:pPr>
            <w:r w:rsidRPr="002D0A54">
              <w:rPr>
                <w:noProof/>
                <w:lang w:eastAsia="es-ES"/>
              </w:rPr>
              <w:drawing>
                <wp:inline distT="0" distB="0" distL="0" distR="0">
                  <wp:extent cx="2076450" cy="1556646"/>
                  <wp:effectExtent l="19050" t="0" r="0" b="0"/>
                  <wp:docPr id="3" name="Imagen 2" descr="C:\Users\sara grimaldi\Desktop\EDUSI OBJ TRANSVERSA MAYOR\IMG_5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ra grimaldi\Desktop\EDUSI OBJ TRANSVERSA MAYOR\IMG_5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505" cy="1556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4D8" w:rsidRPr="003A1E52" w:rsidTr="008529E7">
        <w:trPr>
          <w:trHeight w:val="610"/>
        </w:trPr>
        <w:tc>
          <w:tcPr>
            <w:tcW w:w="4370" w:type="dxa"/>
            <w:vAlign w:val="center"/>
          </w:tcPr>
          <w:p w:rsidR="00A414D8" w:rsidRPr="003A1E52" w:rsidRDefault="00A414D8" w:rsidP="008529E7">
            <w:pPr>
              <w:jc w:val="center"/>
            </w:pPr>
            <w:r w:rsidRPr="003A1E52">
              <w:t>PRESENTACIÓN DEL OBJETIVO TEMATICO</w:t>
            </w:r>
          </w:p>
        </w:tc>
        <w:tc>
          <w:tcPr>
            <w:tcW w:w="4350" w:type="dxa"/>
            <w:vAlign w:val="center"/>
          </w:tcPr>
          <w:p w:rsidR="00A414D8" w:rsidRPr="003A1E52" w:rsidRDefault="00A414D8" w:rsidP="008529E7">
            <w:pPr>
              <w:jc w:val="center"/>
            </w:pPr>
            <w:r w:rsidRPr="003A1E52">
              <w:t>TRABAJO EN GRUPO</w:t>
            </w:r>
          </w:p>
        </w:tc>
      </w:tr>
      <w:tr w:rsidR="00A414D8" w:rsidRPr="003A1E52" w:rsidTr="008529E7">
        <w:tc>
          <w:tcPr>
            <w:tcW w:w="4370" w:type="dxa"/>
          </w:tcPr>
          <w:p w:rsidR="005710F7" w:rsidRPr="003A1E52" w:rsidRDefault="002D0A54" w:rsidP="005710F7">
            <w:pPr>
              <w:jc w:val="center"/>
            </w:pPr>
            <w:r w:rsidRPr="002D0A54">
              <w:rPr>
                <w:noProof/>
                <w:lang w:eastAsia="es-ES"/>
              </w:rPr>
              <w:drawing>
                <wp:inline distT="0" distB="0" distL="0" distR="0">
                  <wp:extent cx="2096431" cy="1571625"/>
                  <wp:effectExtent l="19050" t="0" r="0" b="0"/>
                  <wp:docPr id="4" name="Imagen 3" descr="C:\Users\sara grimaldi\Desktop\EDUSI OBJ TRANSVERSA MAYOR\IMG_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ra grimaldi\Desktop\EDUSI OBJ TRANSVERSA MAYOR\IMG_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85" cy="1571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</w:tcPr>
          <w:p w:rsidR="00A414D8" w:rsidRPr="003A1E52" w:rsidRDefault="002D0A54" w:rsidP="005710F7">
            <w:pPr>
              <w:jc w:val="center"/>
            </w:pPr>
            <w:r w:rsidRPr="002D0A54">
              <w:rPr>
                <w:noProof/>
                <w:lang w:eastAsia="es-ES"/>
              </w:rPr>
              <w:drawing>
                <wp:inline distT="0" distB="0" distL="0" distR="0">
                  <wp:extent cx="2095500" cy="1570927"/>
                  <wp:effectExtent l="19050" t="0" r="0" b="0"/>
                  <wp:docPr id="5" name="Imagen 4" descr="C:\Users\sara grimaldi\Desktop\EDUSI OBJ TRANSVERSA MAYOR\IMG_5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a grimaldi\Desktop\EDUSI OBJ TRANSVERSA MAYOR\IMG_5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509" cy="1574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0F7" w:rsidRPr="003A1E52" w:rsidTr="005710F7">
        <w:trPr>
          <w:trHeight w:val="510"/>
        </w:trPr>
        <w:tc>
          <w:tcPr>
            <w:tcW w:w="4370" w:type="dxa"/>
            <w:vAlign w:val="center"/>
          </w:tcPr>
          <w:p w:rsidR="005710F7" w:rsidRPr="003A1E52" w:rsidRDefault="005710F7" w:rsidP="005710F7">
            <w:pPr>
              <w:jc w:val="center"/>
            </w:pPr>
            <w:r w:rsidRPr="003A1E52">
              <w:t>TRABAJO EN GRUPO</w:t>
            </w:r>
          </w:p>
        </w:tc>
        <w:tc>
          <w:tcPr>
            <w:tcW w:w="4350" w:type="dxa"/>
            <w:vAlign w:val="center"/>
          </w:tcPr>
          <w:p w:rsidR="005710F7" w:rsidRPr="003A1E52" w:rsidRDefault="002D0A54" w:rsidP="008529E7">
            <w:pPr>
              <w:jc w:val="center"/>
            </w:pPr>
            <w:r>
              <w:t>PUESTA EN COMÚN</w:t>
            </w:r>
          </w:p>
        </w:tc>
      </w:tr>
    </w:tbl>
    <w:p w:rsidR="00A414D8" w:rsidRPr="003A1E52" w:rsidRDefault="00A414D8" w:rsidP="00A414D8">
      <w:pPr>
        <w:pStyle w:val="Prrafodelista"/>
        <w:spacing w:line="240" w:lineRule="auto"/>
        <w:ind w:left="0"/>
        <w:jc w:val="both"/>
        <w:rPr>
          <w:rFonts w:cs="Calibri"/>
          <w:u w:val="single"/>
        </w:rPr>
      </w:pPr>
    </w:p>
    <w:p w:rsidR="00193D22" w:rsidRPr="003A1E52" w:rsidRDefault="00193D22" w:rsidP="00BB3045">
      <w:pPr>
        <w:spacing w:line="240" w:lineRule="auto"/>
        <w:contextualSpacing/>
        <w:jc w:val="both"/>
        <w:rPr>
          <w:rFonts w:cstheme="minorHAnsi"/>
          <w:u w:val="single"/>
        </w:rPr>
      </w:pPr>
    </w:p>
    <w:p w:rsidR="00193D22" w:rsidRPr="003A1E52" w:rsidRDefault="00193D22" w:rsidP="00193D22">
      <w:pPr>
        <w:pStyle w:val="Prrafodelista"/>
        <w:spacing w:line="240" w:lineRule="auto"/>
        <w:jc w:val="both"/>
        <w:rPr>
          <w:rFonts w:cstheme="minorHAnsi"/>
          <w:u w:val="single"/>
        </w:rPr>
      </w:pPr>
    </w:p>
    <w:p w:rsidR="00BB3045" w:rsidRPr="00A41725" w:rsidRDefault="00BB3045" w:rsidP="00BB3045">
      <w:pPr>
        <w:spacing w:line="240" w:lineRule="auto"/>
        <w:jc w:val="both"/>
        <w:rPr>
          <w:rFonts w:cstheme="minorHAnsi"/>
          <w:color w:val="FF0000"/>
          <w:u w:val="single"/>
        </w:rPr>
      </w:pPr>
      <w:r w:rsidRPr="00A41725">
        <w:rPr>
          <w:rFonts w:cstheme="minorHAnsi"/>
          <w:color w:val="FF0000"/>
        </w:rPr>
        <w:t xml:space="preserve"> </w:t>
      </w:r>
    </w:p>
    <w:sectPr w:rsidR="00BB3045" w:rsidRPr="00A41725" w:rsidSect="00224761">
      <w:headerReference w:type="default" r:id="rId12"/>
      <w:foot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18" w:rsidRDefault="00120F18" w:rsidP="00AE7670">
      <w:pPr>
        <w:spacing w:after="0" w:line="240" w:lineRule="auto"/>
      </w:pPr>
      <w:r>
        <w:separator/>
      </w:r>
    </w:p>
  </w:endnote>
  <w:endnote w:type="continuationSeparator" w:id="0">
    <w:p w:rsidR="00120F18" w:rsidRDefault="00120F18" w:rsidP="00AE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18" w:rsidRDefault="00120F18">
    <w:pPr>
      <w:pStyle w:val="Piedepgina"/>
    </w:pPr>
    <w:r>
      <w:tab/>
    </w:r>
    <w:r>
      <w:tab/>
    </w:r>
    <w:fldSimple w:instr=" PAGE   \* MERGEFORMAT ">
      <w:r w:rsidR="00A347A9">
        <w:rPr>
          <w:noProof/>
        </w:rPr>
        <w:t>1</w:t>
      </w:r>
    </w:fldSimple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18" w:rsidRDefault="00120F18" w:rsidP="00AE7670">
      <w:pPr>
        <w:spacing w:after="0" w:line="240" w:lineRule="auto"/>
      </w:pPr>
      <w:r>
        <w:separator/>
      </w:r>
    </w:p>
  </w:footnote>
  <w:footnote w:type="continuationSeparator" w:id="0">
    <w:p w:rsidR="00120F18" w:rsidRDefault="00120F18" w:rsidP="00AE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18" w:rsidRDefault="00120F18" w:rsidP="00224761">
    <w:pPr>
      <w:pStyle w:val="Encabezado"/>
      <w:tabs>
        <w:tab w:val="clear" w:pos="4252"/>
      </w:tabs>
    </w:pPr>
    <w:r>
      <w:rPr>
        <w:noProof/>
        <w:lang w:eastAsia="es-ES"/>
      </w:rPr>
      <w:drawing>
        <wp:inline distT="0" distB="0" distL="0" distR="0">
          <wp:extent cx="1514475" cy="1076325"/>
          <wp:effectExtent l="0" t="0" r="0" b="0"/>
          <wp:docPr id="6" name="Imagen 1" descr="CadizDiceSIaLaEDUSI_Logo_RGB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dizDiceSIaLaEDUSI_Logo_RGB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>
          <wp:extent cx="1038225" cy="885825"/>
          <wp:effectExtent l="19050" t="0" r="9525" b="0"/>
          <wp:docPr id="1" name="Imagen 2" descr="Resultado de imagen de union europea un forma de hacer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union europea un forma de hacer europ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0F18" w:rsidRDefault="00120F1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D54"/>
    <w:multiLevelType w:val="hybridMultilevel"/>
    <w:tmpl w:val="9D0E8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2310"/>
    <w:multiLevelType w:val="hybridMultilevel"/>
    <w:tmpl w:val="94F04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4DFF"/>
    <w:multiLevelType w:val="hybridMultilevel"/>
    <w:tmpl w:val="C696D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8266D"/>
    <w:multiLevelType w:val="hybridMultilevel"/>
    <w:tmpl w:val="B6A09C7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610F93"/>
    <w:multiLevelType w:val="hybridMultilevel"/>
    <w:tmpl w:val="2DEAB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E5044"/>
    <w:multiLevelType w:val="hybridMultilevel"/>
    <w:tmpl w:val="140C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59D4"/>
    <w:multiLevelType w:val="hybridMultilevel"/>
    <w:tmpl w:val="C76885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C5510"/>
    <w:multiLevelType w:val="hybridMultilevel"/>
    <w:tmpl w:val="FA52A814"/>
    <w:lvl w:ilvl="0" w:tplc="68E6AE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6D5E85"/>
    <w:multiLevelType w:val="hybridMultilevel"/>
    <w:tmpl w:val="DBD295DA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AE36E91"/>
    <w:multiLevelType w:val="hybridMultilevel"/>
    <w:tmpl w:val="DBF4D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37256"/>
    <w:multiLevelType w:val="hybridMultilevel"/>
    <w:tmpl w:val="578C2086"/>
    <w:lvl w:ilvl="0" w:tplc="68E6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C4EE7"/>
    <w:multiLevelType w:val="hybridMultilevel"/>
    <w:tmpl w:val="5540CCC0"/>
    <w:lvl w:ilvl="0" w:tplc="68E6AE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273334"/>
    <w:multiLevelType w:val="hybridMultilevel"/>
    <w:tmpl w:val="1AE4EF9A"/>
    <w:lvl w:ilvl="0" w:tplc="68E6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77E48"/>
    <w:multiLevelType w:val="hybridMultilevel"/>
    <w:tmpl w:val="E94E0DE8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A422670"/>
    <w:multiLevelType w:val="hybridMultilevel"/>
    <w:tmpl w:val="5A445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03FD9"/>
    <w:multiLevelType w:val="hybridMultilevel"/>
    <w:tmpl w:val="2B780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46CDD"/>
    <w:multiLevelType w:val="hybridMultilevel"/>
    <w:tmpl w:val="71B24A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32FA8"/>
    <w:multiLevelType w:val="hybridMultilevel"/>
    <w:tmpl w:val="62AE24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E4ABB"/>
    <w:multiLevelType w:val="hybridMultilevel"/>
    <w:tmpl w:val="46405C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A7E5E"/>
    <w:multiLevelType w:val="hybridMultilevel"/>
    <w:tmpl w:val="595C7E7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64B4CDC"/>
    <w:multiLevelType w:val="hybridMultilevel"/>
    <w:tmpl w:val="91F86C50"/>
    <w:lvl w:ilvl="0" w:tplc="68E6AE30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E871E81"/>
    <w:multiLevelType w:val="hybridMultilevel"/>
    <w:tmpl w:val="D2685E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517D1"/>
    <w:multiLevelType w:val="hybridMultilevel"/>
    <w:tmpl w:val="A582D542"/>
    <w:lvl w:ilvl="0" w:tplc="68E6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F133D"/>
    <w:multiLevelType w:val="hybridMultilevel"/>
    <w:tmpl w:val="63D09420"/>
    <w:lvl w:ilvl="0" w:tplc="68E6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36DC1"/>
    <w:multiLevelType w:val="hybridMultilevel"/>
    <w:tmpl w:val="C5DAE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71631"/>
    <w:multiLevelType w:val="hybridMultilevel"/>
    <w:tmpl w:val="09566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E2267"/>
    <w:multiLevelType w:val="hybridMultilevel"/>
    <w:tmpl w:val="F1A4D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227A9"/>
    <w:multiLevelType w:val="hybridMultilevel"/>
    <w:tmpl w:val="84DED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A7CBB"/>
    <w:multiLevelType w:val="hybridMultilevel"/>
    <w:tmpl w:val="F14ECB2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2"/>
  </w:num>
  <w:num w:numId="5">
    <w:abstractNumId w:val="9"/>
  </w:num>
  <w:num w:numId="6">
    <w:abstractNumId w:val="21"/>
  </w:num>
  <w:num w:numId="7">
    <w:abstractNumId w:val="25"/>
  </w:num>
  <w:num w:numId="8">
    <w:abstractNumId w:val="16"/>
  </w:num>
  <w:num w:numId="9">
    <w:abstractNumId w:val="6"/>
  </w:num>
  <w:num w:numId="10">
    <w:abstractNumId w:val="19"/>
  </w:num>
  <w:num w:numId="11">
    <w:abstractNumId w:val="23"/>
  </w:num>
  <w:num w:numId="12">
    <w:abstractNumId w:val="12"/>
  </w:num>
  <w:num w:numId="13">
    <w:abstractNumId w:val="7"/>
  </w:num>
  <w:num w:numId="14">
    <w:abstractNumId w:val="22"/>
  </w:num>
  <w:num w:numId="15">
    <w:abstractNumId w:val="10"/>
  </w:num>
  <w:num w:numId="16">
    <w:abstractNumId w:val="11"/>
  </w:num>
  <w:num w:numId="17">
    <w:abstractNumId w:val="20"/>
  </w:num>
  <w:num w:numId="18">
    <w:abstractNumId w:val="14"/>
  </w:num>
  <w:num w:numId="19">
    <w:abstractNumId w:val="17"/>
  </w:num>
  <w:num w:numId="20">
    <w:abstractNumId w:val="15"/>
  </w:num>
  <w:num w:numId="21">
    <w:abstractNumId w:val="5"/>
  </w:num>
  <w:num w:numId="22">
    <w:abstractNumId w:val="18"/>
  </w:num>
  <w:num w:numId="23">
    <w:abstractNumId w:val="26"/>
  </w:num>
  <w:num w:numId="24">
    <w:abstractNumId w:val="4"/>
  </w:num>
  <w:num w:numId="25">
    <w:abstractNumId w:val="1"/>
  </w:num>
  <w:num w:numId="26">
    <w:abstractNumId w:val="3"/>
  </w:num>
  <w:num w:numId="27">
    <w:abstractNumId w:val="28"/>
  </w:num>
  <w:num w:numId="28">
    <w:abstractNumId w:val="1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21F"/>
    <w:rsid w:val="00041CB3"/>
    <w:rsid w:val="000546BE"/>
    <w:rsid w:val="0009360D"/>
    <w:rsid w:val="000A1A1B"/>
    <w:rsid w:val="000A221F"/>
    <w:rsid w:val="000B17FC"/>
    <w:rsid w:val="000D2CAC"/>
    <w:rsid w:val="000D6FA6"/>
    <w:rsid w:val="000E4770"/>
    <w:rsid w:val="000E6B0C"/>
    <w:rsid w:val="00104DC1"/>
    <w:rsid w:val="00111065"/>
    <w:rsid w:val="00115930"/>
    <w:rsid w:val="00116E7A"/>
    <w:rsid w:val="00120F18"/>
    <w:rsid w:val="00156509"/>
    <w:rsid w:val="0016213E"/>
    <w:rsid w:val="001653B2"/>
    <w:rsid w:val="0018330E"/>
    <w:rsid w:val="00193D22"/>
    <w:rsid w:val="001D2687"/>
    <w:rsid w:val="001D53A0"/>
    <w:rsid w:val="001E0690"/>
    <w:rsid w:val="002201DC"/>
    <w:rsid w:val="00224761"/>
    <w:rsid w:val="00240B5D"/>
    <w:rsid w:val="00283AA2"/>
    <w:rsid w:val="002B7333"/>
    <w:rsid w:val="002D0A54"/>
    <w:rsid w:val="002E015A"/>
    <w:rsid w:val="002E2F89"/>
    <w:rsid w:val="002E642D"/>
    <w:rsid w:val="002F0749"/>
    <w:rsid w:val="002F11AB"/>
    <w:rsid w:val="002F1497"/>
    <w:rsid w:val="00300713"/>
    <w:rsid w:val="00330A03"/>
    <w:rsid w:val="00346A82"/>
    <w:rsid w:val="0035775B"/>
    <w:rsid w:val="00381EA0"/>
    <w:rsid w:val="00384FB3"/>
    <w:rsid w:val="00395788"/>
    <w:rsid w:val="003A1E52"/>
    <w:rsid w:val="003B6DB4"/>
    <w:rsid w:val="003C24AF"/>
    <w:rsid w:val="003F5D6A"/>
    <w:rsid w:val="00416FF9"/>
    <w:rsid w:val="00420230"/>
    <w:rsid w:val="004625E2"/>
    <w:rsid w:val="004651AC"/>
    <w:rsid w:val="00483BBB"/>
    <w:rsid w:val="00493E4F"/>
    <w:rsid w:val="004E4AD2"/>
    <w:rsid w:val="004E544E"/>
    <w:rsid w:val="004F10F8"/>
    <w:rsid w:val="005349CD"/>
    <w:rsid w:val="00542A5A"/>
    <w:rsid w:val="00553624"/>
    <w:rsid w:val="00567B40"/>
    <w:rsid w:val="005710F7"/>
    <w:rsid w:val="00577A16"/>
    <w:rsid w:val="00584DDF"/>
    <w:rsid w:val="005C7DD7"/>
    <w:rsid w:val="005D5A54"/>
    <w:rsid w:val="005D64B1"/>
    <w:rsid w:val="00635C53"/>
    <w:rsid w:val="00646458"/>
    <w:rsid w:val="00647481"/>
    <w:rsid w:val="00652E37"/>
    <w:rsid w:val="006554A7"/>
    <w:rsid w:val="00666053"/>
    <w:rsid w:val="006752ED"/>
    <w:rsid w:val="00686A10"/>
    <w:rsid w:val="006B4D06"/>
    <w:rsid w:val="006D783F"/>
    <w:rsid w:val="006E07DE"/>
    <w:rsid w:val="006E11D5"/>
    <w:rsid w:val="006F181C"/>
    <w:rsid w:val="00705BAB"/>
    <w:rsid w:val="00706612"/>
    <w:rsid w:val="00732C96"/>
    <w:rsid w:val="007760A2"/>
    <w:rsid w:val="00787973"/>
    <w:rsid w:val="007A7FC1"/>
    <w:rsid w:val="007C24C8"/>
    <w:rsid w:val="007C6F89"/>
    <w:rsid w:val="00806542"/>
    <w:rsid w:val="0082000B"/>
    <w:rsid w:val="00835E80"/>
    <w:rsid w:val="008529E7"/>
    <w:rsid w:val="00852B47"/>
    <w:rsid w:val="008D73D6"/>
    <w:rsid w:val="008F0884"/>
    <w:rsid w:val="00962CBC"/>
    <w:rsid w:val="009A0CC0"/>
    <w:rsid w:val="009B15C8"/>
    <w:rsid w:val="009C061C"/>
    <w:rsid w:val="009C273E"/>
    <w:rsid w:val="009C410C"/>
    <w:rsid w:val="009D53F7"/>
    <w:rsid w:val="009F3BD3"/>
    <w:rsid w:val="00A076DA"/>
    <w:rsid w:val="00A247EB"/>
    <w:rsid w:val="00A26C1B"/>
    <w:rsid w:val="00A347A9"/>
    <w:rsid w:val="00A414D8"/>
    <w:rsid w:val="00A41725"/>
    <w:rsid w:val="00A43C50"/>
    <w:rsid w:val="00A70E11"/>
    <w:rsid w:val="00A80F6C"/>
    <w:rsid w:val="00A92938"/>
    <w:rsid w:val="00AB0BCE"/>
    <w:rsid w:val="00AD188C"/>
    <w:rsid w:val="00AD70D0"/>
    <w:rsid w:val="00AE641A"/>
    <w:rsid w:val="00AE7670"/>
    <w:rsid w:val="00B10022"/>
    <w:rsid w:val="00B17A79"/>
    <w:rsid w:val="00B934C4"/>
    <w:rsid w:val="00B95101"/>
    <w:rsid w:val="00BB3045"/>
    <w:rsid w:val="00BB62F7"/>
    <w:rsid w:val="00BE5522"/>
    <w:rsid w:val="00BF28A0"/>
    <w:rsid w:val="00C059A0"/>
    <w:rsid w:val="00C100D7"/>
    <w:rsid w:val="00C25DA7"/>
    <w:rsid w:val="00C3713B"/>
    <w:rsid w:val="00C57766"/>
    <w:rsid w:val="00CC3435"/>
    <w:rsid w:val="00CD0356"/>
    <w:rsid w:val="00CD25A5"/>
    <w:rsid w:val="00CD6600"/>
    <w:rsid w:val="00D34FA1"/>
    <w:rsid w:val="00D364BA"/>
    <w:rsid w:val="00D47833"/>
    <w:rsid w:val="00D5011A"/>
    <w:rsid w:val="00D647E3"/>
    <w:rsid w:val="00DC181D"/>
    <w:rsid w:val="00DE27C7"/>
    <w:rsid w:val="00DF0F7F"/>
    <w:rsid w:val="00DF27BF"/>
    <w:rsid w:val="00E227A0"/>
    <w:rsid w:val="00E673F7"/>
    <w:rsid w:val="00E91454"/>
    <w:rsid w:val="00EA1548"/>
    <w:rsid w:val="00EB5471"/>
    <w:rsid w:val="00EB6088"/>
    <w:rsid w:val="00ED6452"/>
    <w:rsid w:val="00EE5703"/>
    <w:rsid w:val="00EF4D38"/>
    <w:rsid w:val="00F30530"/>
    <w:rsid w:val="00F62218"/>
    <w:rsid w:val="00F67D6D"/>
    <w:rsid w:val="00F773FD"/>
    <w:rsid w:val="00F8363A"/>
    <w:rsid w:val="00FB1713"/>
    <w:rsid w:val="00FC10DC"/>
    <w:rsid w:val="00FE6CB8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2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70"/>
  </w:style>
  <w:style w:type="paragraph" w:styleId="Piedepgina">
    <w:name w:val="footer"/>
    <w:basedOn w:val="Normal"/>
    <w:link w:val="PiedepginaCar"/>
    <w:uiPriority w:val="99"/>
    <w:semiHidden/>
    <w:unhideWhenUsed/>
    <w:rsid w:val="00AE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7670"/>
  </w:style>
  <w:style w:type="paragraph" w:styleId="Textodeglobo">
    <w:name w:val="Balloon Text"/>
    <w:basedOn w:val="Normal"/>
    <w:link w:val="TextodegloboCar"/>
    <w:uiPriority w:val="99"/>
    <w:semiHidden/>
    <w:unhideWhenUsed/>
    <w:rsid w:val="0057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A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5BAB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EAB25-7042-41CD-90C6-91418B56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santos</dc:creator>
  <cp:lastModifiedBy>Maria Mur</cp:lastModifiedBy>
  <cp:revision>5</cp:revision>
  <cp:lastPrinted>2016-11-21T14:27:00Z</cp:lastPrinted>
  <dcterms:created xsi:type="dcterms:W3CDTF">2016-11-21T14:26:00Z</dcterms:created>
  <dcterms:modified xsi:type="dcterms:W3CDTF">2016-11-21T15:19:00Z</dcterms:modified>
</cp:coreProperties>
</file>